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D9" w:rsidRDefault="007842D9" w:rsidP="007842D9">
      <w:pPr>
        <w:jc w:val="center"/>
      </w:pPr>
      <w:r>
        <w:t>Условия питания и охраны</w:t>
      </w:r>
      <w:r w:rsidR="00463BFC">
        <w:t xml:space="preserve"> здоровья </w:t>
      </w:r>
      <w:proofErr w:type="gramStart"/>
      <w:r w:rsidR="00463BFC">
        <w:t>обучающихс</w:t>
      </w:r>
      <w:bookmarkStart w:id="0" w:name="_GoBack"/>
      <w:bookmarkEnd w:id="0"/>
      <w:r>
        <w:t>я</w:t>
      </w:r>
      <w:proofErr w:type="gramEnd"/>
    </w:p>
    <w:p w:rsidR="007842D9" w:rsidRDefault="007842D9" w:rsidP="007842D9">
      <w:pPr>
        <w:pStyle w:val="a4"/>
        <w:spacing w:before="0" w:beforeAutospacing="0" w:after="0" w:afterAutospacing="0" w:line="306" w:lineRule="atLeast"/>
        <w:rPr>
          <w:rFonts w:ascii="Verdana" w:hAnsi="Verdana"/>
          <w:color w:val="003C5B"/>
          <w:sz w:val="18"/>
          <w:szCs w:val="18"/>
        </w:rPr>
      </w:pPr>
      <w:r>
        <w:rPr>
          <w:rFonts w:ascii="Verdana" w:hAnsi="Verdana"/>
          <w:color w:val="003C5B"/>
          <w:sz w:val="18"/>
          <w:szCs w:val="18"/>
        </w:rPr>
        <w:t>Организация питания в детском саду основана на следующих принципах:</w:t>
      </w:r>
    </w:p>
    <w:p w:rsidR="007842D9" w:rsidRDefault="007842D9" w:rsidP="007842D9">
      <w:pPr>
        <w:pStyle w:val="a4"/>
        <w:spacing w:before="0" w:beforeAutospacing="0" w:after="0" w:afterAutospacing="0" w:line="306" w:lineRule="atLeast"/>
        <w:rPr>
          <w:rFonts w:ascii="Verdana" w:hAnsi="Verdana"/>
          <w:color w:val="003C5B"/>
          <w:sz w:val="18"/>
          <w:szCs w:val="18"/>
        </w:rPr>
      </w:pPr>
      <w:r>
        <w:rPr>
          <w:rFonts w:ascii="Verdana" w:hAnsi="Verdana"/>
          <w:color w:val="003C5B"/>
          <w:sz w:val="18"/>
          <w:szCs w:val="18"/>
        </w:rPr>
        <w:t>- обеспечение сбалансированного питания, необходимого для нормального роста и развития ребенка: трехкратное питание;</w:t>
      </w:r>
    </w:p>
    <w:p w:rsidR="007842D9" w:rsidRDefault="007842D9" w:rsidP="007842D9">
      <w:pPr>
        <w:pStyle w:val="a4"/>
        <w:spacing w:before="0" w:beforeAutospacing="0" w:after="0" w:afterAutospacing="0" w:line="306" w:lineRule="atLeast"/>
        <w:rPr>
          <w:rFonts w:ascii="Verdana" w:hAnsi="Verdana"/>
          <w:color w:val="003C5B"/>
          <w:sz w:val="18"/>
          <w:szCs w:val="18"/>
        </w:rPr>
      </w:pPr>
      <w:r>
        <w:rPr>
          <w:rFonts w:ascii="Verdana" w:hAnsi="Verdana"/>
          <w:color w:val="003C5B"/>
          <w:sz w:val="18"/>
          <w:szCs w:val="18"/>
        </w:rPr>
        <w:t>- составление полноценных рационов питания;</w:t>
      </w:r>
    </w:p>
    <w:p w:rsidR="007842D9" w:rsidRDefault="007842D9" w:rsidP="007842D9">
      <w:pPr>
        <w:pStyle w:val="a4"/>
        <w:spacing w:before="0" w:beforeAutospacing="0" w:after="0" w:afterAutospacing="0" w:line="306" w:lineRule="atLeast"/>
        <w:rPr>
          <w:rFonts w:ascii="Verdana" w:hAnsi="Verdana"/>
          <w:color w:val="003C5B"/>
          <w:sz w:val="18"/>
          <w:szCs w:val="18"/>
        </w:rPr>
      </w:pPr>
      <w:r>
        <w:rPr>
          <w:rFonts w:ascii="Verdana" w:hAnsi="Verdana"/>
          <w:color w:val="003C5B"/>
          <w:sz w:val="18"/>
          <w:szCs w:val="18"/>
        </w:rPr>
        <w:t>- 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7842D9" w:rsidRDefault="007842D9" w:rsidP="007842D9">
      <w:pPr>
        <w:pStyle w:val="a4"/>
        <w:spacing w:before="0" w:beforeAutospacing="0" w:after="0" w:afterAutospacing="0" w:line="306" w:lineRule="atLeast"/>
        <w:rPr>
          <w:rFonts w:ascii="Verdana" w:hAnsi="Verdana"/>
          <w:color w:val="003C5B"/>
          <w:sz w:val="18"/>
          <w:szCs w:val="18"/>
        </w:rPr>
      </w:pPr>
      <w:r>
        <w:rPr>
          <w:rFonts w:ascii="Verdana" w:hAnsi="Verdana"/>
          <w:color w:val="003C5B"/>
          <w:sz w:val="18"/>
          <w:szCs w:val="18"/>
        </w:rPr>
        <w:t>- строгое соблюдение режима питания, отвечающего физиологическим особенностям детей различных возрастных групп, правильное сочетание его с режимом дня каждого ребенка и режимом работы учреждения;</w:t>
      </w:r>
    </w:p>
    <w:p w:rsidR="007842D9" w:rsidRDefault="007842D9" w:rsidP="007842D9">
      <w:pPr>
        <w:pStyle w:val="a4"/>
        <w:spacing w:before="0" w:beforeAutospacing="0" w:after="0" w:afterAutospacing="0" w:line="306" w:lineRule="atLeast"/>
        <w:rPr>
          <w:rFonts w:ascii="Verdana" w:hAnsi="Verdana"/>
          <w:color w:val="003C5B"/>
          <w:sz w:val="18"/>
          <w:szCs w:val="18"/>
        </w:rPr>
      </w:pPr>
      <w:r>
        <w:rPr>
          <w:rFonts w:ascii="Verdana" w:hAnsi="Verdana"/>
          <w:color w:val="003C5B"/>
          <w:sz w:val="18"/>
          <w:szCs w:val="18"/>
        </w:rPr>
        <w:t>- соблюдение правил эстетики питания, воспитание необходимых гигиенических навыков в зависимости от возраста и уровня развития детей;</w:t>
      </w:r>
    </w:p>
    <w:p w:rsidR="007842D9" w:rsidRDefault="007842D9" w:rsidP="007842D9">
      <w:pPr>
        <w:pStyle w:val="a4"/>
        <w:spacing w:before="0" w:beforeAutospacing="0" w:after="0" w:afterAutospacing="0" w:line="306" w:lineRule="atLeast"/>
        <w:rPr>
          <w:rFonts w:ascii="Verdana" w:hAnsi="Verdana"/>
          <w:color w:val="003C5B"/>
          <w:sz w:val="18"/>
          <w:szCs w:val="18"/>
        </w:rPr>
      </w:pPr>
      <w:r>
        <w:rPr>
          <w:rFonts w:ascii="Verdana" w:hAnsi="Verdana"/>
          <w:color w:val="003C5B"/>
          <w:sz w:val="18"/>
          <w:szCs w:val="18"/>
        </w:rPr>
        <w:t>- правильное сочетание питания в дошкольном учреждении с питанием в домашних условиях, проведение необходимой санитарно-просветительной работы с родителями, гигиеническое воспитание детей;</w:t>
      </w:r>
    </w:p>
    <w:p w:rsidR="007842D9" w:rsidRDefault="007842D9" w:rsidP="007842D9">
      <w:pPr>
        <w:pStyle w:val="a4"/>
        <w:spacing w:before="0" w:beforeAutospacing="0" w:after="0" w:afterAutospacing="0" w:line="306" w:lineRule="atLeast"/>
        <w:rPr>
          <w:rFonts w:ascii="Verdana" w:hAnsi="Verdana"/>
          <w:color w:val="003C5B"/>
          <w:sz w:val="18"/>
          <w:szCs w:val="18"/>
        </w:rPr>
      </w:pPr>
      <w:r>
        <w:rPr>
          <w:rFonts w:ascii="Verdana" w:hAnsi="Verdana"/>
          <w:color w:val="003C5B"/>
          <w:sz w:val="18"/>
          <w:szCs w:val="18"/>
        </w:rPr>
        <w:t>- учет климатических, национальных особенностей региона, времени года, изменение в связи с этим режима питания, включение соответствующих продуктов и блюд, повышение или понижение калорийности продуктов</w:t>
      </w:r>
      <w:proofErr w:type="gramStart"/>
      <w:r>
        <w:rPr>
          <w:rFonts w:ascii="Verdana" w:hAnsi="Verdana"/>
          <w:color w:val="003C5B"/>
          <w:sz w:val="18"/>
          <w:szCs w:val="18"/>
        </w:rPr>
        <w:t xml:space="preserve"> ;</w:t>
      </w:r>
      <w:proofErr w:type="gramEnd"/>
    </w:p>
    <w:p w:rsidR="007842D9" w:rsidRDefault="007842D9" w:rsidP="007842D9">
      <w:pPr>
        <w:pStyle w:val="a4"/>
        <w:spacing w:before="0" w:beforeAutospacing="0" w:after="0" w:afterAutospacing="0" w:line="306" w:lineRule="atLeast"/>
        <w:rPr>
          <w:rFonts w:ascii="Verdana" w:hAnsi="Verdana"/>
          <w:color w:val="003C5B"/>
          <w:sz w:val="18"/>
          <w:szCs w:val="18"/>
        </w:rPr>
      </w:pPr>
      <w:r>
        <w:rPr>
          <w:rFonts w:ascii="Verdana" w:hAnsi="Verdana"/>
          <w:color w:val="003C5B"/>
          <w:sz w:val="18"/>
          <w:szCs w:val="18"/>
        </w:rPr>
        <w:t>- индивидуальный подход к каждому ребенку, учет состояния его здоровья, особенностей развития, периода адаптации, наличия хронических заболеваний;</w:t>
      </w:r>
    </w:p>
    <w:p w:rsidR="007842D9" w:rsidRDefault="007842D9" w:rsidP="007842D9">
      <w:pPr>
        <w:pStyle w:val="a4"/>
        <w:spacing w:before="0" w:beforeAutospacing="0" w:after="0" w:afterAutospacing="0" w:line="306" w:lineRule="atLeast"/>
        <w:rPr>
          <w:rFonts w:ascii="Verdana" w:hAnsi="Verdana"/>
          <w:color w:val="003C5B"/>
          <w:sz w:val="18"/>
          <w:szCs w:val="18"/>
        </w:rPr>
      </w:pPr>
      <w:r>
        <w:rPr>
          <w:rFonts w:ascii="Verdana" w:hAnsi="Verdana"/>
          <w:color w:val="003C5B"/>
          <w:sz w:val="18"/>
          <w:szCs w:val="18"/>
        </w:rPr>
        <w:t>- строгое соблюдение технологических требований при приготовлении пищи, обеспечение правильной кулинарной обработки пищевых продуктов;</w:t>
      </w:r>
    </w:p>
    <w:p w:rsidR="007842D9" w:rsidRDefault="007842D9" w:rsidP="007842D9">
      <w:pPr>
        <w:pStyle w:val="a4"/>
        <w:spacing w:before="0" w:beforeAutospacing="0" w:after="0" w:afterAutospacing="0" w:line="306" w:lineRule="atLeast"/>
        <w:rPr>
          <w:rFonts w:ascii="Verdana" w:hAnsi="Verdana"/>
          <w:color w:val="003C5B"/>
          <w:sz w:val="18"/>
          <w:szCs w:val="18"/>
        </w:rPr>
      </w:pPr>
      <w:r>
        <w:rPr>
          <w:rFonts w:ascii="Verdana" w:hAnsi="Verdana"/>
          <w:color w:val="003C5B"/>
          <w:sz w:val="18"/>
          <w:szCs w:val="18"/>
        </w:rPr>
        <w:t xml:space="preserve">- повседневный </w:t>
      </w:r>
      <w:proofErr w:type="gramStart"/>
      <w:r>
        <w:rPr>
          <w:rFonts w:ascii="Verdana" w:hAnsi="Verdana"/>
          <w:color w:val="003C5B"/>
          <w:sz w:val="18"/>
          <w:szCs w:val="18"/>
        </w:rPr>
        <w:t>контроль за</w:t>
      </w:r>
      <w:proofErr w:type="gramEnd"/>
      <w:r>
        <w:rPr>
          <w:rFonts w:ascii="Verdana" w:hAnsi="Verdana"/>
          <w:color w:val="003C5B"/>
          <w:sz w:val="18"/>
          <w:szCs w:val="18"/>
        </w:rPr>
        <w:t xml:space="preserve"> работой пищеблока, доведением пищи до ребенка, правильной организацией питания детей в группах;</w:t>
      </w:r>
    </w:p>
    <w:p w:rsidR="007842D9" w:rsidRDefault="007842D9" w:rsidP="007842D9">
      <w:pPr>
        <w:pStyle w:val="a4"/>
        <w:spacing w:before="0" w:beforeAutospacing="0" w:after="0" w:afterAutospacing="0" w:line="306" w:lineRule="atLeast"/>
        <w:rPr>
          <w:rFonts w:ascii="Verdana" w:hAnsi="Verdana"/>
          <w:color w:val="003C5B"/>
          <w:sz w:val="18"/>
          <w:szCs w:val="18"/>
        </w:rPr>
      </w:pPr>
      <w:r>
        <w:rPr>
          <w:rFonts w:ascii="Verdana" w:hAnsi="Verdana"/>
          <w:color w:val="003C5B"/>
          <w:sz w:val="18"/>
          <w:szCs w:val="18"/>
        </w:rPr>
        <w:t>- учет эффективности питания детей.</w:t>
      </w:r>
    </w:p>
    <w:p w:rsidR="007842D9" w:rsidRDefault="007842D9" w:rsidP="007842D9">
      <w:pPr>
        <w:pStyle w:val="a4"/>
        <w:spacing w:before="0" w:beforeAutospacing="0" w:after="0" w:afterAutospacing="0" w:line="306" w:lineRule="atLeast"/>
        <w:rPr>
          <w:rFonts w:ascii="Verdana" w:hAnsi="Verdana"/>
          <w:color w:val="003C5B"/>
          <w:sz w:val="18"/>
          <w:szCs w:val="18"/>
        </w:rPr>
      </w:pPr>
    </w:p>
    <w:tbl>
      <w:tblPr>
        <w:tblStyle w:val="a3"/>
        <w:tblpPr w:leftFromText="180" w:rightFromText="180" w:vertAnchor="page" w:horzAnchor="margin" w:tblpY="9976"/>
        <w:tblW w:w="0" w:type="auto"/>
        <w:tblLook w:val="04A0"/>
      </w:tblPr>
      <w:tblGrid>
        <w:gridCol w:w="637"/>
        <w:gridCol w:w="2427"/>
        <w:gridCol w:w="1526"/>
        <w:gridCol w:w="1562"/>
        <w:gridCol w:w="1891"/>
        <w:gridCol w:w="1528"/>
      </w:tblGrid>
      <w:tr w:rsidR="007842D9" w:rsidTr="007842D9">
        <w:trPr>
          <w:trHeight w:val="556"/>
        </w:trPr>
        <w:tc>
          <w:tcPr>
            <w:tcW w:w="9571" w:type="dxa"/>
            <w:gridSpan w:val="6"/>
          </w:tcPr>
          <w:p w:rsidR="007842D9" w:rsidRDefault="007842D9" w:rsidP="007842D9">
            <w:pPr>
              <w:jc w:val="center"/>
            </w:pPr>
            <w:r>
              <w:t>Медицинское оборудование</w:t>
            </w:r>
          </w:p>
        </w:tc>
      </w:tr>
      <w:tr w:rsidR="007842D9" w:rsidTr="007842D9">
        <w:tc>
          <w:tcPr>
            <w:tcW w:w="637" w:type="dxa"/>
          </w:tcPr>
          <w:p w:rsidR="007842D9" w:rsidRDefault="007842D9" w:rsidP="007842D9"/>
        </w:tc>
        <w:tc>
          <w:tcPr>
            <w:tcW w:w="2427" w:type="dxa"/>
          </w:tcPr>
          <w:p w:rsidR="007842D9" w:rsidRDefault="007842D9" w:rsidP="007842D9"/>
        </w:tc>
        <w:tc>
          <w:tcPr>
            <w:tcW w:w="1526" w:type="dxa"/>
          </w:tcPr>
          <w:p w:rsidR="007842D9" w:rsidRDefault="007842D9" w:rsidP="007842D9">
            <w:r>
              <w:t>марка</w:t>
            </w:r>
          </w:p>
        </w:tc>
        <w:tc>
          <w:tcPr>
            <w:tcW w:w="1562" w:type="dxa"/>
          </w:tcPr>
          <w:p w:rsidR="007842D9" w:rsidRDefault="007842D9" w:rsidP="007842D9">
            <w:r>
              <w:t>Количество</w:t>
            </w:r>
          </w:p>
        </w:tc>
        <w:tc>
          <w:tcPr>
            <w:tcW w:w="1891" w:type="dxa"/>
          </w:tcPr>
          <w:p w:rsidR="007842D9" w:rsidRDefault="007842D9" w:rsidP="007842D9">
            <w:r>
              <w:t>Заводской №</w:t>
            </w:r>
          </w:p>
        </w:tc>
        <w:tc>
          <w:tcPr>
            <w:tcW w:w="1528" w:type="dxa"/>
          </w:tcPr>
          <w:p w:rsidR="007842D9" w:rsidRDefault="007842D9" w:rsidP="007842D9">
            <w:r>
              <w:t>Год выпуска</w:t>
            </w:r>
          </w:p>
        </w:tc>
      </w:tr>
      <w:tr w:rsidR="007842D9" w:rsidTr="007842D9">
        <w:tc>
          <w:tcPr>
            <w:tcW w:w="637" w:type="dxa"/>
          </w:tcPr>
          <w:p w:rsidR="007842D9" w:rsidRDefault="007842D9" w:rsidP="007842D9">
            <w:r>
              <w:t>1</w:t>
            </w:r>
          </w:p>
        </w:tc>
        <w:tc>
          <w:tcPr>
            <w:tcW w:w="2427" w:type="dxa"/>
          </w:tcPr>
          <w:p w:rsidR="007842D9" w:rsidRDefault="007842D9" w:rsidP="007842D9">
            <w:r>
              <w:t xml:space="preserve">Облучатель  </w:t>
            </w:r>
            <w:proofErr w:type="spellStart"/>
            <w:r>
              <w:t>рециркулятор</w:t>
            </w:r>
            <w:proofErr w:type="spellEnd"/>
          </w:p>
        </w:tc>
        <w:tc>
          <w:tcPr>
            <w:tcW w:w="1526" w:type="dxa"/>
          </w:tcPr>
          <w:p w:rsidR="007842D9" w:rsidRDefault="007842D9" w:rsidP="007842D9">
            <w:r>
              <w:t>АРМЕД</w:t>
            </w:r>
          </w:p>
        </w:tc>
        <w:tc>
          <w:tcPr>
            <w:tcW w:w="1562" w:type="dxa"/>
          </w:tcPr>
          <w:p w:rsidR="007842D9" w:rsidRDefault="007842D9" w:rsidP="007842D9">
            <w:r>
              <w:t>8</w:t>
            </w:r>
          </w:p>
        </w:tc>
        <w:tc>
          <w:tcPr>
            <w:tcW w:w="1891" w:type="dxa"/>
          </w:tcPr>
          <w:p w:rsidR="007842D9" w:rsidRDefault="007842D9" w:rsidP="007842D9">
            <w:r>
              <w:t>Р13051111151007</w:t>
            </w:r>
          </w:p>
          <w:p w:rsidR="007842D9" w:rsidRDefault="007842D9" w:rsidP="007842D9">
            <w:r>
              <w:t>Р13051111151011</w:t>
            </w:r>
          </w:p>
          <w:p w:rsidR="007842D9" w:rsidRDefault="007842D9" w:rsidP="007842D9">
            <w:r>
              <w:t>Р13051111151010</w:t>
            </w:r>
          </w:p>
          <w:p w:rsidR="007842D9" w:rsidRDefault="007842D9" w:rsidP="007842D9">
            <w:r>
              <w:t>Р13051111151004</w:t>
            </w:r>
          </w:p>
          <w:p w:rsidR="007842D9" w:rsidRDefault="007842D9" w:rsidP="007842D9">
            <w:r>
              <w:t>Р13051111151012</w:t>
            </w:r>
          </w:p>
          <w:p w:rsidR="007842D9" w:rsidRDefault="007842D9" w:rsidP="007842D9">
            <w:r>
              <w:t>Р13051111151006</w:t>
            </w:r>
          </w:p>
          <w:p w:rsidR="007842D9" w:rsidRDefault="007842D9" w:rsidP="007842D9">
            <w:r>
              <w:t>Р13051111150990</w:t>
            </w:r>
          </w:p>
          <w:p w:rsidR="007842D9" w:rsidRDefault="007842D9" w:rsidP="007842D9"/>
        </w:tc>
        <w:tc>
          <w:tcPr>
            <w:tcW w:w="1528" w:type="dxa"/>
          </w:tcPr>
          <w:p w:rsidR="007842D9" w:rsidRDefault="007842D9" w:rsidP="007842D9">
            <w:r>
              <w:t>2014</w:t>
            </w:r>
          </w:p>
        </w:tc>
      </w:tr>
      <w:tr w:rsidR="007842D9" w:rsidTr="007842D9">
        <w:tc>
          <w:tcPr>
            <w:tcW w:w="637" w:type="dxa"/>
          </w:tcPr>
          <w:p w:rsidR="007842D9" w:rsidRDefault="007842D9" w:rsidP="007842D9">
            <w:r>
              <w:t>2</w:t>
            </w:r>
          </w:p>
        </w:tc>
        <w:tc>
          <w:tcPr>
            <w:tcW w:w="2427" w:type="dxa"/>
          </w:tcPr>
          <w:p w:rsidR="007842D9" w:rsidRDefault="007842D9" w:rsidP="007842D9">
            <w:r>
              <w:t>Облучатель бактерицидный</w:t>
            </w:r>
          </w:p>
          <w:p w:rsidR="007842D9" w:rsidRDefault="007842D9" w:rsidP="007842D9">
            <w:proofErr w:type="spellStart"/>
            <w:r>
              <w:t>Кристал</w:t>
            </w:r>
            <w:proofErr w:type="spellEnd"/>
          </w:p>
        </w:tc>
        <w:tc>
          <w:tcPr>
            <w:tcW w:w="1526" w:type="dxa"/>
          </w:tcPr>
          <w:p w:rsidR="007842D9" w:rsidRDefault="007842D9" w:rsidP="007842D9">
            <w:r>
              <w:t>ООО</w:t>
            </w:r>
          </w:p>
          <w:p w:rsidR="007842D9" w:rsidRDefault="007842D9" w:rsidP="007842D9">
            <w:r>
              <w:t>«ДИАК»</w:t>
            </w:r>
          </w:p>
        </w:tc>
        <w:tc>
          <w:tcPr>
            <w:tcW w:w="1562" w:type="dxa"/>
          </w:tcPr>
          <w:p w:rsidR="007842D9" w:rsidRDefault="007842D9" w:rsidP="007842D9">
            <w:r>
              <w:t>2</w:t>
            </w:r>
          </w:p>
        </w:tc>
        <w:tc>
          <w:tcPr>
            <w:tcW w:w="1891" w:type="dxa"/>
          </w:tcPr>
          <w:p w:rsidR="007842D9" w:rsidRDefault="007842D9" w:rsidP="007842D9">
            <w:r>
              <w:rPr>
                <w:lang w:val="en-US"/>
              </w:rPr>
              <w:t>Z403</w:t>
            </w:r>
            <w:r>
              <w:t xml:space="preserve">а </w:t>
            </w:r>
          </w:p>
          <w:p w:rsidR="007842D9" w:rsidRPr="00E92DAC" w:rsidRDefault="007842D9" w:rsidP="007842D9">
            <w:r>
              <w:rPr>
                <w:lang w:val="en-US"/>
              </w:rPr>
              <w:t>Z403</w:t>
            </w:r>
            <w:r>
              <w:t>а</w:t>
            </w:r>
          </w:p>
        </w:tc>
        <w:tc>
          <w:tcPr>
            <w:tcW w:w="1528" w:type="dxa"/>
          </w:tcPr>
          <w:p w:rsidR="007842D9" w:rsidRDefault="007842D9" w:rsidP="007842D9">
            <w:r>
              <w:t>2014</w:t>
            </w:r>
          </w:p>
        </w:tc>
      </w:tr>
      <w:tr w:rsidR="007842D9" w:rsidTr="007842D9">
        <w:tc>
          <w:tcPr>
            <w:tcW w:w="637" w:type="dxa"/>
          </w:tcPr>
          <w:p w:rsidR="007842D9" w:rsidRDefault="007842D9" w:rsidP="007842D9">
            <w:r>
              <w:t>3</w:t>
            </w:r>
          </w:p>
        </w:tc>
        <w:tc>
          <w:tcPr>
            <w:tcW w:w="2427" w:type="dxa"/>
          </w:tcPr>
          <w:p w:rsidR="007842D9" w:rsidRDefault="007842D9" w:rsidP="007842D9">
            <w:r>
              <w:t>Весы</w:t>
            </w:r>
          </w:p>
          <w:p w:rsidR="007842D9" w:rsidRDefault="007842D9" w:rsidP="007842D9">
            <w:r>
              <w:t>напольные</w:t>
            </w:r>
          </w:p>
        </w:tc>
        <w:tc>
          <w:tcPr>
            <w:tcW w:w="1526" w:type="dxa"/>
          </w:tcPr>
          <w:p w:rsidR="007842D9" w:rsidRDefault="007842D9" w:rsidP="007842D9">
            <w:proofErr w:type="spellStart"/>
            <w:r>
              <w:t>Бойрер</w:t>
            </w:r>
            <w:proofErr w:type="spellEnd"/>
          </w:p>
        </w:tc>
        <w:tc>
          <w:tcPr>
            <w:tcW w:w="1562" w:type="dxa"/>
          </w:tcPr>
          <w:p w:rsidR="007842D9" w:rsidRDefault="007842D9" w:rsidP="007842D9">
            <w:r>
              <w:t>2</w:t>
            </w:r>
          </w:p>
        </w:tc>
        <w:tc>
          <w:tcPr>
            <w:tcW w:w="1891" w:type="dxa"/>
          </w:tcPr>
          <w:p w:rsidR="007842D9" w:rsidRDefault="007842D9" w:rsidP="007842D9">
            <w:pPr>
              <w:rPr>
                <w:lang w:val="en-US"/>
              </w:rPr>
            </w:pPr>
            <w:r>
              <w:rPr>
                <w:lang w:val="en-US"/>
              </w:rPr>
              <w:t xml:space="preserve">Art Nr 75662   </w:t>
            </w:r>
          </w:p>
          <w:p w:rsidR="007842D9" w:rsidRPr="001E2364" w:rsidRDefault="007842D9" w:rsidP="007842D9">
            <w:pPr>
              <w:rPr>
                <w:lang w:val="en-US"/>
              </w:rPr>
            </w:pPr>
            <w:r>
              <w:rPr>
                <w:lang w:val="en-US"/>
              </w:rPr>
              <w:t>Art Nr 75663</w:t>
            </w:r>
          </w:p>
        </w:tc>
        <w:tc>
          <w:tcPr>
            <w:tcW w:w="1528" w:type="dxa"/>
          </w:tcPr>
          <w:p w:rsidR="007842D9" w:rsidRDefault="007842D9" w:rsidP="007842D9">
            <w:r>
              <w:t>2013</w:t>
            </w:r>
          </w:p>
        </w:tc>
      </w:tr>
      <w:tr w:rsidR="007842D9" w:rsidTr="007842D9">
        <w:tc>
          <w:tcPr>
            <w:tcW w:w="637" w:type="dxa"/>
          </w:tcPr>
          <w:p w:rsidR="007842D9" w:rsidRDefault="007842D9" w:rsidP="007842D9">
            <w:r>
              <w:t>4</w:t>
            </w:r>
          </w:p>
        </w:tc>
        <w:tc>
          <w:tcPr>
            <w:tcW w:w="2427" w:type="dxa"/>
          </w:tcPr>
          <w:p w:rsidR="007842D9" w:rsidRDefault="007842D9" w:rsidP="007842D9">
            <w:r>
              <w:t>Тонометр</w:t>
            </w:r>
          </w:p>
        </w:tc>
        <w:tc>
          <w:tcPr>
            <w:tcW w:w="1526" w:type="dxa"/>
          </w:tcPr>
          <w:p w:rsidR="007842D9" w:rsidRDefault="007842D9" w:rsidP="007842D9">
            <w:r>
              <w:t>ОМРОН</w:t>
            </w:r>
          </w:p>
        </w:tc>
        <w:tc>
          <w:tcPr>
            <w:tcW w:w="1562" w:type="dxa"/>
          </w:tcPr>
          <w:p w:rsidR="007842D9" w:rsidRDefault="007842D9" w:rsidP="007842D9">
            <w:r>
              <w:t>1</w:t>
            </w:r>
          </w:p>
        </w:tc>
        <w:tc>
          <w:tcPr>
            <w:tcW w:w="1891" w:type="dxa"/>
          </w:tcPr>
          <w:p w:rsidR="007842D9" w:rsidRPr="001E2364" w:rsidRDefault="007842D9" w:rsidP="007842D9">
            <w:pPr>
              <w:rPr>
                <w:lang w:val="en-US"/>
              </w:rPr>
            </w:pPr>
            <w:r>
              <w:t>20130414643</w:t>
            </w:r>
            <w:r>
              <w:rPr>
                <w:lang w:val="en-US"/>
              </w:rPr>
              <w:t>LG</w:t>
            </w:r>
          </w:p>
        </w:tc>
        <w:tc>
          <w:tcPr>
            <w:tcW w:w="1528" w:type="dxa"/>
          </w:tcPr>
          <w:p w:rsidR="007842D9" w:rsidRDefault="007842D9" w:rsidP="007842D9">
            <w:r>
              <w:t>2014</w:t>
            </w:r>
          </w:p>
        </w:tc>
      </w:tr>
      <w:tr w:rsidR="007842D9" w:rsidTr="007842D9">
        <w:tc>
          <w:tcPr>
            <w:tcW w:w="637" w:type="dxa"/>
          </w:tcPr>
          <w:p w:rsidR="007842D9" w:rsidRDefault="007842D9" w:rsidP="007842D9"/>
        </w:tc>
        <w:tc>
          <w:tcPr>
            <w:tcW w:w="2427" w:type="dxa"/>
          </w:tcPr>
          <w:p w:rsidR="007842D9" w:rsidRDefault="007842D9" w:rsidP="007842D9"/>
        </w:tc>
        <w:tc>
          <w:tcPr>
            <w:tcW w:w="1526" w:type="dxa"/>
          </w:tcPr>
          <w:p w:rsidR="007842D9" w:rsidRDefault="007842D9" w:rsidP="007842D9"/>
        </w:tc>
        <w:tc>
          <w:tcPr>
            <w:tcW w:w="1562" w:type="dxa"/>
          </w:tcPr>
          <w:p w:rsidR="007842D9" w:rsidRDefault="007842D9" w:rsidP="007842D9"/>
        </w:tc>
        <w:tc>
          <w:tcPr>
            <w:tcW w:w="1891" w:type="dxa"/>
          </w:tcPr>
          <w:p w:rsidR="007842D9" w:rsidRDefault="007842D9" w:rsidP="007842D9"/>
        </w:tc>
        <w:tc>
          <w:tcPr>
            <w:tcW w:w="1528" w:type="dxa"/>
          </w:tcPr>
          <w:p w:rsidR="007842D9" w:rsidRDefault="007842D9" w:rsidP="007842D9"/>
        </w:tc>
      </w:tr>
    </w:tbl>
    <w:p w:rsidR="007842D9" w:rsidRPr="007842D9" w:rsidRDefault="007842D9" w:rsidP="007842D9">
      <w:pPr>
        <w:jc w:val="center"/>
      </w:pPr>
      <w:r>
        <w:t>Охрана здоровья.</w:t>
      </w:r>
    </w:p>
    <w:sectPr w:rsidR="007842D9" w:rsidRPr="007842D9" w:rsidSect="00D8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BFC"/>
    <w:rsid w:val="00463BFC"/>
    <w:rsid w:val="00700271"/>
    <w:rsid w:val="007842D9"/>
    <w:rsid w:val="00D8412F"/>
    <w:rsid w:val="00E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BEST</cp:lastModifiedBy>
  <cp:revision>4</cp:revision>
  <dcterms:created xsi:type="dcterms:W3CDTF">2016-02-29T08:09:00Z</dcterms:created>
  <dcterms:modified xsi:type="dcterms:W3CDTF">2016-02-29T14:27:00Z</dcterms:modified>
</cp:coreProperties>
</file>